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45ACC" w14:textId="77777777" w:rsidR="001E6CD6" w:rsidRDefault="00000000">
      <w:pPr>
        <w:spacing w:after="160"/>
        <w:jc w:val="center"/>
      </w:pPr>
      <w:r>
        <w:rPr>
          <w:b/>
          <w:sz w:val="28"/>
        </w:rPr>
        <w:t>CLARIFICATION No. 1</w:t>
      </w:r>
    </w:p>
    <w:tbl>
      <w:tblPr>
        <w:tblW w:w="0" w:type="auto"/>
        <w:jc w:val="center"/>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Layout w:type="fixed"/>
        <w:tblLook w:val="04A0" w:firstRow="1" w:lastRow="0" w:firstColumn="1" w:lastColumn="0" w:noHBand="0" w:noVBand="1"/>
      </w:tblPr>
      <w:tblGrid>
        <w:gridCol w:w="5100"/>
        <w:gridCol w:w="5100"/>
      </w:tblGrid>
      <w:tr w:rsidR="001E6CD6" w14:paraId="235EA2B7" w14:textId="77777777">
        <w:trPr>
          <w:cantSplit/>
          <w:jc w:val="center"/>
        </w:trPr>
        <w:tc>
          <w:tcPr>
            <w:tcW w:w="5100" w:type="dxa"/>
            <w:tcMar>
              <w:top w:w="80" w:type="dxa"/>
              <w:left w:w="100" w:type="dxa"/>
              <w:bottom w:w="80" w:type="dxa"/>
              <w:right w:w="100" w:type="dxa"/>
            </w:tcMar>
            <w:vAlign w:val="center"/>
          </w:tcPr>
          <w:p w14:paraId="27BC1FF9" w14:textId="77777777" w:rsidR="001E6CD6" w:rsidRDefault="00000000">
            <w:pPr>
              <w:spacing w:after="0"/>
            </w:pPr>
            <w:r>
              <w:rPr>
                <w:b/>
                <w:sz w:val="19"/>
              </w:rPr>
              <w:t>Contract title</w:t>
            </w:r>
          </w:p>
        </w:tc>
        <w:tc>
          <w:tcPr>
            <w:tcW w:w="5100" w:type="dxa"/>
            <w:tcMar>
              <w:top w:w="80" w:type="dxa"/>
              <w:left w:w="100" w:type="dxa"/>
              <w:bottom w:w="80" w:type="dxa"/>
              <w:right w:w="100" w:type="dxa"/>
            </w:tcMar>
            <w:vAlign w:val="center"/>
          </w:tcPr>
          <w:p w14:paraId="77236174" w14:textId="77777777" w:rsidR="001E6CD6" w:rsidRDefault="00000000">
            <w:pPr>
              <w:spacing w:after="0"/>
            </w:pPr>
            <w:r>
              <w:rPr>
                <w:sz w:val="19"/>
              </w:rPr>
              <w:t>Purchase of laboratory equipment</w:t>
            </w:r>
          </w:p>
        </w:tc>
      </w:tr>
      <w:tr w:rsidR="001E6CD6" w14:paraId="7D753171" w14:textId="77777777">
        <w:trPr>
          <w:cantSplit/>
          <w:jc w:val="center"/>
        </w:trPr>
        <w:tc>
          <w:tcPr>
            <w:tcW w:w="5100" w:type="dxa"/>
            <w:tcMar>
              <w:top w:w="80" w:type="dxa"/>
              <w:left w:w="100" w:type="dxa"/>
              <w:bottom w:w="80" w:type="dxa"/>
              <w:right w:w="100" w:type="dxa"/>
            </w:tcMar>
            <w:vAlign w:val="center"/>
          </w:tcPr>
          <w:p w14:paraId="00951ED3" w14:textId="77777777" w:rsidR="001E6CD6" w:rsidRDefault="00000000">
            <w:pPr>
              <w:spacing w:after="0"/>
            </w:pPr>
            <w:r>
              <w:rPr>
                <w:b/>
                <w:sz w:val="19"/>
              </w:rPr>
              <w:t>Publication reference</w:t>
            </w:r>
          </w:p>
        </w:tc>
        <w:tc>
          <w:tcPr>
            <w:tcW w:w="5100" w:type="dxa"/>
            <w:tcMar>
              <w:top w:w="80" w:type="dxa"/>
              <w:left w:w="100" w:type="dxa"/>
              <w:bottom w:w="80" w:type="dxa"/>
              <w:right w:w="100" w:type="dxa"/>
            </w:tcMar>
            <w:vAlign w:val="center"/>
          </w:tcPr>
          <w:p w14:paraId="73CC3E0B" w14:textId="77777777" w:rsidR="001E6CD6" w:rsidRDefault="00000000">
            <w:pPr>
              <w:spacing w:after="0"/>
            </w:pPr>
            <w:r>
              <w:rPr>
                <w:sz w:val="19"/>
              </w:rPr>
              <w:t>06-00-72/2013-03/ENE1/JN01</w:t>
            </w:r>
          </w:p>
        </w:tc>
      </w:tr>
      <w:tr w:rsidR="001E6CD6" w14:paraId="518ADBB6" w14:textId="77777777">
        <w:trPr>
          <w:cantSplit/>
          <w:jc w:val="center"/>
        </w:trPr>
        <w:tc>
          <w:tcPr>
            <w:tcW w:w="5100" w:type="dxa"/>
            <w:tcMar>
              <w:top w:w="80" w:type="dxa"/>
              <w:left w:w="100" w:type="dxa"/>
              <w:bottom w:w="80" w:type="dxa"/>
              <w:right w:w="100" w:type="dxa"/>
            </w:tcMar>
            <w:vAlign w:val="center"/>
          </w:tcPr>
          <w:p w14:paraId="13F6B4C3" w14:textId="77777777" w:rsidR="001E6CD6" w:rsidRDefault="00000000">
            <w:pPr>
              <w:spacing w:after="0"/>
            </w:pPr>
            <w:r>
              <w:rPr>
                <w:b/>
                <w:sz w:val="19"/>
              </w:rPr>
              <w:t>Contracting Authority</w:t>
            </w:r>
          </w:p>
        </w:tc>
        <w:tc>
          <w:tcPr>
            <w:tcW w:w="5100" w:type="dxa"/>
            <w:tcMar>
              <w:top w:w="80" w:type="dxa"/>
              <w:left w:w="100" w:type="dxa"/>
              <w:bottom w:w="80" w:type="dxa"/>
              <w:right w:w="100" w:type="dxa"/>
            </w:tcMar>
            <w:vAlign w:val="center"/>
          </w:tcPr>
          <w:p w14:paraId="7A81684A" w14:textId="77777777" w:rsidR="001E6CD6" w:rsidRDefault="00000000">
            <w:pPr>
              <w:spacing w:after="0"/>
            </w:pPr>
            <w:r>
              <w:rPr>
                <w:sz w:val="19"/>
              </w:rPr>
              <w:t>Government of the Republic of Serbia – Ministry of European Integration (MEI)</w:t>
            </w:r>
          </w:p>
        </w:tc>
      </w:tr>
      <w:tr w:rsidR="001E6CD6" w14:paraId="1B7181B0" w14:textId="77777777">
        <w:trPr>
          <w:cantSplit/>
          <w:jc w:val="center"/>
        </w:trPr>
        <w:tc>
          <w:tcPr>
            <w:tcW w:w="5100" w:type="dxa"/>
            <w:tcMar>
              <w:top w:w="80" w:type="dxa"/>
              <w:left w:w="100" w:type="dxa"/>
              <w:bottom w:w="80" w:type="dxa"/>
              <w:right w:w="100" w:type="dxa"/>
            </w:tcMar>
            <w:vAlign w:val="center"/>
          </w:tcPr>
          <w:p w14:paraId="571BC6A2" w14:textId="77777777" w:rsidR="001E6CD6" w:rsidRDefault="00000000">
            <w:pPr>
              <w:spacing w:after="0"/>
            </w:pPr>
            <w:r>
              <w:rPr>
                <w:b/>
                <w:sz w:val="19"/>
              </w:rPr>
              <w:t>Date</w:t>
            </w:r>
          </w:p>
        </w:tc>
        <w:tc>
          <w:tcPr>
            <w:tcW w:w="5100" w:type="dxa"/>
            <w:tcMar>
              <w:top w:w="80" w:type="dxa"/>
              <w:left w:w="100" w:type="dxa"/>
              <w:bottom w:w="80" w:type="dxa"/>
              <w:right w:w="100" w:type="dxa"/>
            </w:tcMar>
            <w:vAlign w:val="center"/>
          </w:tcPr>
          <w:p w14:paraId="5FA015CF" w14:textId="77777777" w:rsidR="001E6CD6" w:rsidRDefault="00000000">
            <w:pPr>
              <w:spacing w:after="0"/>
            </w:pPr>
            <w:r>
              <w:rPr>
                <w:sz w:val="19"/>
              </w:rPr>
              <w:t>4 September 2026</w:t>
            </w:r>
          </w:p>
        </w:tc>
      </w:tr>
    </w:tbl>
    <w:p w14:paraId="6C890E75" w14:textId="77777777" w:rsidR="001E6CD6" w:rsidRDefault="00000000">
      <w:pPr>
        <w:spacing w:before="160" w:after="160"/>
      </w:pPr>
      <w:r>
        <w:t>The Contracting Authority provides the following clarification concerning Item 2 – Multichannel (96 channels) resistivity meter. This clarification is published for the information of all prospective tenderers.</w:t>
      </w:r>
    </w:p>
    <w:tbl>
      <w:tblPr>
        <w:tblW w:w="0" w:type="auto"/>
        <w:jc w:val="center"/>
        <w:tblBorders>
          <w:top w:val="single" w:sz="6" w:space="0" w:color="707070"/>
          <w:left w:val="single" w:sz="6" w:space="0" w:color="707070"/>
          <w:bottom w:val="single" w:sz="6" w:space="0" w:color="707070"/>
          <w:right w:val="single" w:sz="6" w:space="0" w:color="707070"/>
          <w:insideH w:val="single" w:sz="6" w:space="0" w:color="707070"/>
          <w:insideV w:val="single" w:sz="6" w:space="0" w:color="707070"/>
        </w:tblBorders>
        <w:tblLayout w:type="fixed"/>
        <w:tblLook w:val="04A0" w:firstRow="1" w:lastRow="0" w:firstColumn="1" w:lastColumn="0" w:noHBand="0" w:noVBand="1"/>
      </w:tblPr>
      <w:tblGrid>
        <w:gridCol w:w="5100"/>
        <w:gridCol w:w="5896"/>
      </w:tblGrid>
      <w:tr w:rsidR="001E6CD6" w14:paraId="3A973EDA" w14:textId="77777777">
        <w:trPr>
          <w:cantSplit/>
          <w:tblHeader/>
          <w:jc w:val="center"/>
        </w:trPr>
        <w:tc>
          <w:tcPr>
            <w:tcW w:w="5100" w:type="dxa"/>
            <w:shd w:val="clear" w:color="auto" w:fill="D9E1F2"/>
            <w:tcMar>
              <w:top w:w="100" w:type="dxa"/>
              <w:left w:w="100" w:type="dxa"/>
              <w:bottom w:w="100" w:type="dxa"/>
              <w:right w:w="100" w:type="dxa"/>
            </w:tcMar>
          </w:tcPr>
          <w:p w14:paraId="60FC9051" w14:textId="77777777" w:rsidR="001E6CD6" w:rsidRDefault="00000000">
            <w:pPr>
              <w:spacing w:after="0"/>
              <w:jc w:val="center"/>
            </w:pPr>
            <w:r>
              <w:rPr>
                <w:b/>
              </w:rPr>
              <w:t>QUESTION</w:t>
            </w:r>
          </w:p>
        </w:tc>
        <w:tc>
          <w:tcPr>
            <w:tcW w:w="5100" w:type="dxa"/>
            <w:shd w:val="clear" w:color="auto" w:fill="D9E1F2"/>
            <w:tcMar>
              <w:top w:w="100" w:type="dxa"/>
              <w:left w:w="100" w:type="dxa"/>
              <w:bottom w:w="100" w:type="dxa"/>
              <w:right w:w="100" w:type="dxa"/>
            </w:tcMar>
          </w:tcPr>
          <w:p w14:paraId="54397055" w14:textId="77777777" w:rsidR="001E6CD6" w:rsidRDefault="00000000">
            <w:pPr>
              <w:spacing w:after="0"/>
              <w:jc w:val="center"/>
            </w:pPr>
            <w:r>
              <w:rPr>
                <w:b/>
              </w:rPr>
              <w:t>ANSWER</w:t>
            </w:r>
          </w:p>
        </w:tc>
      </w:tr>
      <w:tr w:rsidR="001E6CD6" w14:paraId="69F63ED8" w14:textId="77777777">
        <w:trPr>
          <w:cantSplit/>
          <w:jc w:val="center"/>
        </w:trPr>
        <w:tc>
          <w:tcPr>
            <w:tcW w:w="3515" w:type="dxa"/>
            <w:tcMar>
              <w:top w:w="100" w:type="dxa"/>
              <w:left w:w="120" w:type="dxa"/>
              <w:bottom w:w="100" w:type="dxa"/>
              <w:right w:w="120" w:type="dxa"/>
            </w:tcMar>
          </w:tcPr>
          <w:p w14:paraId="57530018" w14:textId="77777777" w:rsidR="001E6CD6" w:rsidRDefault="00000000">
            <w:pPr>
              <w:spacing w:after="60"/>
            </w:pPr>
            <w:r>
              <w:rPr>
                <w:b/>
                <w:sz w:val="19"/>
              </w:rPr>
              <w:t>1. Is it acceptable for Item 2 – Multichannel (96 channels) resistivity meter to offer the following characteristics?</w:t>
            </w:r>
          </w:p>
          <w:p w14:paraId="26377CD3" w14:textId="77777777" w:rsidR="001E6CD6" w:rsidRDefault="00000000">
            <w:pPr>
              <w:spacing w:after="40"/>
              <w:ind w:left="198" w:hanging="142"/>
            </w:pPr>
            <w:r>
              <w:rPr>
                <w:sz w:val="19"/>
              </w:rPr>
              <w:t>• Output current: up to 12 A at 50 V, up to 0.75 A at 800 V.</w:t>
            </w:r>
          </w:p>
          <w:p w14:paraId="39BC77E7" w14:textId="77777777" w:rsidR="001E6CD6" w:rsidRDefault="00000000">
            <w:pPr>
              <w:spacing w:after="40"/>
              <w:ind w:left="198" w:hanging="142"/>
            </w:pPr>
            <w:r>
              <w:rPr>
                <w:sz w:val="19"/>
              </w:rPr>
              <w:t>• Noise reduction: up to 255.</w:t>
            </w:r>
          </w:p>
          <w:p w14:paraId="0E50BD2D" w14:textId="77777777" w:rsidR="001E6CD6" w:rsidRDefault="00000000">
            <w:pPr>
              <w:spacing w:after="40"/>
              <w:ind w:left="198" w:hanging="142"/>
            </w:pPr>
            <w:r>
              <w:rPr>
                <w:sz w:val="19"/>
              </w:rPr>
              <w:t>• IP's windows: unlimited windows for measurement.</w:t>
            </w:r>
          </w:p>
          <w:p w14:paraId="4A761C2C" w14:textId="77777777" w:rsidR="001E6CD6" w:rsidRDefault="00000000">
            <w:pPr>
              <w:spacing w:after="40"/>
              <w:ind w:left="198" w:hanging="142"/>
            </w:pPr>
            <w:r>
              <w:rPr>
                <w:sz w:val="19"/>
              </w:rPr>
              <w:t>• 4 multielectrode extension cables – 125 m length each for 24 takeouts array cable.</w:t>
            </w:r>
          </w:p>
          <w:p w14:paraId="30239FFF" w14:textId="77777777" w:rsidR="001E6CD6" w:rsidRDefault="00000000">
            <w:pPr>
              <w:spacing w:after="40"/>
              <w:ind w:left="198" w:hanging="142"/>
            </w:pPr>
            <w:r>
              <w:rPr>
                <w:sz w:val="19"/>
              </w:rPr>
              <w:t>• Display: LCD 10" minimum with integrated touch screen.</w:t>
            </w:r>
          </w:p>
          <w:p w14:paraId="61BDD592" w14:textId="77777777" w:rsidR="001E6CD6" w:rsidRDefault="00000000">
            <w:pPr>
              <w:spacing w:after="40"/>
              <w:ind w:left="198" w:hanging="142"/>
            </w:pPr>
            <w:r>
              <w:rPr>
                <w:sz w:val="19"/>
              </w:rPr>
              <w:t>• Software: (a) ZondRes 3D – 3D software interpretation of Electrical Tomography data; (b) ZondRes 2D – 2D software interpretation of Electrical Tomography data.</w:t>
            </w:r>
          </w:p>
        </w:tc>
        <w:tc>
          <w:tcPr>
            <w:tcW w:w="5896" w:type="dxa"/>
            <w:tcMar>
              <w:top w:w="100" w:type="dxa"/>
              <w:left w:w="120" w:type="dxa"/>
              <w:bottom w:w="100" w:type="dxa"/>
              <w:right w:w="120" w:type="dxa"/>
            </w:tcMar>
          </w:tcPr>
          <w:p w14:paraId="4AB73D5F" w14:textId="77777777" w:rsidR="001E6CD6" w:rsidRDefault="00000000">
            <w:pPr>
              <w:spacing w:after="80"/>
            </w:pPr>
            <w:r>
              <w:rPr>
                <w:b/>
                <w:sz w:val="19"/>
              </w:rPr>
              <w:t>The Contracting Authority cannot provide, before submission and evaluation of tenders, a prior assessment or confirmation that a specific proposed product or configuration is technically compliant.</w:t>
            </w:r>
          </w:p>
          <w:p w14:paraId="72BA3E99" w14:textId="77777777" w:rsidR="001E6CD6" w:rsidRDefault="00000000">
            <w:pPr>
              <w:spacing w:after="60"/>
            </w:pPr>
            <w:r>
              <w:rPr>
                <w:sz w:val="19"/>
              </w:rPr>
              <w:t>The minimum technical requirements set out in Annex II+III – Technical Specifications remain unchanged and apply in full. For avoidance of doubt, the following requirements for Item 2 remain applicable:</w:t>
            </w:r>
          </w:p>
          <w:p w14:paraId="6E0072A8" w14:textId="77777777" w:rsidR="001E6CD6" w:rsidRDefault="00000000">
            <w:pPr>
              <w:spacing w:after="40"/>
              <w:ind w:left="198" w:hanging="142"/>
            </w:pPr>
            <w:r>
              <w:rPr>
                <w:sz w:val="19"/>
              </w:rPr>
              <w:t>• Output current: 1 A minimum; automatic regulation (minimum 5 steps); output voltages: minimum ±50 V to ±800 V or higher; power: 500 W minimum.</w:t>
            </w:r>
          </w:p>
          <w:p w14:paraId="223B99A2" w14:textId="77777777" w:rsidR="001E6CD6" w:rsidRDefault="00000000">
            <w:pPr>
              <w:spacing w:after="40"/>
              <w:ind w:left="198" w:hanging="142"/>
            </w:pPr>
            <w:r>
              <w:rPr>
                <w:sz w:val="19"/>
              </w:rPr>
              <w:t>• Noise reduction: average from 2 to 10 measures.</w:t>
            </w:r>
          </w:p>
          <w:p w14:paraId="6381A667" w14:textId="77777777" w:rsidR="001E6CD6" w:rsidRDefault="00000000">
            <w:pPr>
              <w:spacing w:after="40"/>
              <w:ind w:left="198" w:hanging="142"/>
            </w:pPr>
            <w:r>
              <w:rPr>
                <w:sz w:val="19"/>
              </w:rPr>
              <w:t>• Chargeability: measured on four temporal windows of 1 and/or 2 seconds total duration.</w:t>
            </w:r>
          </w:p>
          <w:p w14:paraId="7FD9B35A" w14:textId="77777777" w:rsidR="001E6CD6" w:rsidRDefault="00000000">
            <w:pPr>
              <w:spacing w:after="40"/>
              <w:ind w:left="198" w:hanging="142"/>
            </w:pPr>
            <w:r>
              <w:rPr>
                <w:sz w:val="19"/>
              </w:rPr>
              <w:t>• Cables: 4 × 24 take-outs with minimum 10 m spacing cables; 4 × 24 take-outs with minimum 5 m spacing cables; 2 extension cables, minimum 75 m each; plus the other cables, adapters and accessories specified in Annex II+III.</w:t>
            </w:r>
          </w:p>
          <w:p w14:paraId="5DC28026" w14:textId="77777777" w:rsidR="001E6CD6" w:rsidRDefault="00000000">
            <w:pPr>
              <w:spacing w:after="40"/>
              <w:ind w:left="198" w:hanging="142"/>
            </w:pPr>
            <w:r>
              <w:rPr>
                <w:sz w:val="19"/>
              </w:rPr>
              <w:t>• Display: LCD 12.2" minimum with integrated touch screen.</w:t>
            </w:r>
          </w:p>
          <w:p w14:paraId="09BB26C5" w14:textId="77777777" w:rsidR="001E6CD6" w:rsidRDefault="00000000">
            <w:pPr>
              <w:spacing w:after="40"/>
              <w:ind w:left="198" w:hanging="142"/>
            </w:pPr>
            <w:r>
              <w:rPr>
                <w:sz w:val="19"/>
              </w:rPr>
              <w:t>• Software: Res2Dinv + Res3Dinv – 2D+3D processing software for Electrical Tomography, Professional Version or equivalent; and ZondRes 2D – 2D software for interpretation of Electrical Tomography, or equivalent.</w:t>
            </w:r>
          </w:p>
          <w:p w14:paraId="6BCB1BCC" w14:textId="77777777" w:rsidR="001E6CD6" w:rsidRDefault="00000000">
            <w:pPr>
              <w:spacing w:before="40" w:after="0"/>
            </w:pPr>
            <w:r>
              <w:rPr>
                <w:sz w:val="19"/>
              </w:rPr>
              <w:t>Compliance of the offered equipment, including any claimed equivalent solution, will be assessed by the Evaluation Committee during the tender evaluation procedure on the basis of the complete technical offer and supporting documentation submitted with the tender.</w:t>
            </w:r>
          </w:p>
        </w:tc>
      </w:tr>
      <w:tr w:rsidR="001E6CD6" w14:paraId="03AD1108" w14:textId="77777777">
        <w:trPr>
          <w:cantSplit/>
          <w:jc w:val="center"/>
        </w:trPr>
        <w:tc>
          <w:tcPr>
            <w:tcW w:w="3515" w:type="dxa"/>
            <w:tcMar>
              <w:top w:w="100" w:type="dxa"/>
              <w:left w:w="120" w:type="dxa"/>
              <w:bottom w:w="100" w:type="dxa"/>
              <w:right w:w="120" w:type="dxa"/>
            </w:tcMar>
          </w:tcPr>
          <w:p w14:paraId="26D5C74D" w14:textId="77777777" w:rsidR="001E6CD6" w:rsidRDefault="00000000">
            <w:pPr>
              <w:spacing w:after="0"/>
            </w:pPr>
            <w:r>
              <w:rPr>
                <w:b/>
                <w:sz w:val="19"/>
              </w:rPr>
              <w:lastRenderedPageBreak/>
              <w:t>2. Regarding documents of CE conformity and EMC/LVD/WEEE compliance, is Directive 2014/30/EU acceptable?</w:t>
            </w:r>
          </w:p>
        </w:tc>
        <w:tc>
          <w:tcPr>
            <w:tcW w:w="5896" w:type="dxa"/>
            <w:tcMar>
              <w:top w:w="100" w:type="dxa"/>
              <w:left w:w="120" w:type="dxa"/>
              <w:bottom w:w="100" w:type="dxa"/>
              <w:right w:w="120" w:type="dxa"/>
            </w:tcMar>
          </w:tcPr>
          <w:p w14:paraId="724B9ED9" w14:textId="77777777" w:rsidR="001E6CD6" w:rsidRDefault="00000000">
            <w:pPr>
              <w:spacing w:after="80"/>
            </w:pPr>
            <w:r>
              <w:rPr>
                <w:b/>
                <w:sz w:val="19"/>
              </w:rPr>
              <w:t>Yes, Directive 2014/30/EU is acceptable for EMC compliance, as it is the applicable successor legislation to Directive 2004/108/EC.</w:t>
            </w:r>
          </w:p>
          <w:p w14:paraId="5A19EEC8" w14:textId="77777777" w:rsidR="001E6CD6" w:rsidRDefault="00000000">
            <w:pPr>
              <w:spacing w:after="60"/>
            </w:pPr>
            <w:r>
              <w:rPr>
                <w:sz w:val="19"/>
              </w:rPr>
              <w:t>For the purposes of this tender, the references in Annex II+III to Directive 2004/108/EC, Directive 2006/95/EC and Directive 2002/96/EC shall be understood as references to the applicable current successor legislation, where applicable to the offered equipment:</w:t>
            </w:r>
          </w:p>
          <w:p w14:paraId="2FEA438D" w14:textId="77777777" w:rsidR="001E6CD6" w:rsidRDefault="00000000">
            <w:pPr>
              <w:spacing w:after="40"/>
              <w:ind w:left="198" w:hanging="142"/>
            </w:pPr>
            <w:r>
              <w:rPr>
                <w:sz w:val="19"/>
              </w:rPr>
              <w:t>• Directive 2014/30/EU – Electromagnetic Compatibility (EMC);</w:t>
            </w:r>
          </w:p>
          <w:p w14:paraId="492E4A58" w14:textId="77777777" w:rsidR="001E6CD6" w:rsidRDefault="00000000">
            <w:pPr>
              <w:spacing w:after="40"/>
              <w:ind w:left="198" w:hanging="142"/>
            </w:pPr>
            <w:r>
              <w:rPr>
                <w:sz w:val="19"/>
              </w:rPr>
              <w:t>• Directive 2014/35/EU – Low Voltage Directive (LVD);</w:t>
            </w:r>
          </w:p>
          <w:p w14:paraId="0FE6EECF" w14:textId="77777777" w:rsidR="001E6CD6" w:rsidRDefault="00000000">
            <w:pPr>
              <w:spacing w:after="40"/>
              <w:ind w:left="198" w:hanging="142"/>
            </w:pPr>
            <w:r>
              <w:rPr>
                <w:sz w:val="19"/>
              </w:rPr>
              <w:t>• Directive 2012/19/EU – Waste Electrical and Electronic Equipment (WEEE).</w:t>
            </w:r>
          </w:p>
          <w:p w14:paraId="296430B3" w14:textId="77777777" w:rsidR="001E6CD6" w:rsidRDefault="00000000">
            <w:pPr>
              <w:spacing w:before="40" w:after="0"/>
            </w:pPr>
            <w:r>
              <w:rPr>
                <w:sz w:val="19"/>
              </w:rPr>
              <w:t>The tenderer shall submit appropriate supporting documentation demonstrating compliance with the applicable technical and safety requirements, such as an EU Declaration of Conformity, certificate, manufacturer catalogue/technical documentation or equivalent supporting documentation, as applicable.</w:t>
            </w:r>
          </w:p>
        </w:tc>
      </w:tr>
    </w:tbl>
    <w:p w14:paraId="217316C2" w14:textId="77777777" w:rsidR="001E6CD6" w:rsidRDefault="00000000">
      <w:pPr>
        <w:spacing w:before="200" w:after="60"/>
      </w:pPr>
      <w:r>
        <w:rPr>
          <w:b/>
        </w:rPr>
        <w:t>This clarification forms part of the tender dossier. All other requirements of the tender dossier remain unchanged.</w:t>
      </w:r>
    </w:p>
    <w:sectPr w:rsidR="001E6CD6" w:rsidSect="00034616">
      <w:footerReference w:type="default" r:id="rId8"/>
      <w:pgSz w:w="12240" w:h="15840"/>
      <w:pgMar w:top="1020" w:right="1020" w:bottom="102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BF03" w14:textId="77777777" w:rsidR="00E22A87" w:rsidRDefault="00E22A87">
      <w:pPr>
        <w:spacing w:after="0" w:line="240" w:lineRule="auto"/>
      </w:pPr>
      <w:r>
        <w:separator/>
      </w:r>
    </w:p>
  </w:endnote>
  <w:endnote w:type="continuationSeparator" w:id="0">
    <w:p w14:paraId="7811C9A4" w14:textId="77777777" w:rsidR="00E22A87" w:rsidRDefault="00E22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E962" w14:textId="77777777" w:rsidR="001E6CD6" w:rsidRDefault="00000000">
    <w:pPr>
      <w:pStyle w:val="Footer"/>
      <w:jc w:val="center"/>
    </w:pPr>
    <w:r>
      <w:rPr>
        <w:sz w:val="16"/>
      </w:rPr>
      <w:t>ENE1/JN01 – Clarification No.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AE24" w14:textId="77777777" w:rsidR="00E22A87" w:rsidRDefault="00E22A87">
      <w:pPr>
        <w:spacing w:after="0" w:line="240" w:lineRule="auto"/>
      </w:pPr>
      <w:r>
        <w:separator/>
      </w:r>
    </w:p>
  </w:footnote>
  <w:footnote w:type="continuationSeparator" w:id="0">
    <w:p w14:paraId="29615573" w14:textId="77777777" w:rsidR="00E22A87" w:rsidRDefault="00E22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5702468">
    <w:abstractNumId w:val="8"/>
  </w:num>
  <w:num w:numId="2" w16cid:durableId="1758360904">
    <w:abstractNumId w:val="6"/>
  </w:num>
  <w:num w:numId="3" w16cid:durableId="722173849">
    <w:abstractNumId w:val="5"/>
  </w:num>
  <w:num w:numId="4" w16cid:durableId="1739551915">
    <w:abstractNumId w:val="4"/>
  </w:num>
  <w:num w:numId="5" w16cid:durableId="2036076908">
    <w:abstractNumId w:val="7"/>
  </w:num>
  <w:num w:numId="6" w16cid:durableId="914165262">
    <w:abstractNumId w:val="3"/>
  </w:num>
  <w:num w:numId="7" w16cid:durableId="1111894601">
    <w:abstractNumId w:val="2"/>
  </w:num>
  <w:num w:numId="8" w16cid:durableId="1280144773">
    <w:abstractNumId w:val="1"/>
  </w:num>
  <w:num w:numId="9" w16cid:durableId="177833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6CD6"/>
    <w:rsid w:val="0029639D"/>
    <w:rsid w:val="00326F90"/>
    <w:rsid w:val="00AA1D8D"/>
    <w:rsid w:val="00B47730"/>
    <w:rsid w:val="00CB0664"/>
    <w:rsid w:val="00E22A87"/>
    <w:rsid w:val="00E334E9"/>
    <w:rsid w:val="00E718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D2C99"/>
  <w14:defaultImageDpi w14:val="300"/>
  <w15:docId w15:val="{761D618B-8F87-48ED-8310-B20DE3E2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Luljeta Shtino</dc:creator>
  <cp:keywords/>
  <cp:lastModifiedBy>Luljeta Shtino</cp:lastModifiedBy>
  <cp:revision>2</cp:revision>
  <dcterms:created xsi:type="dcterms:W3CDTF">2026-09-04T10:57:00Z</dcterms:created>
  <dcterms:modified xsi:type="dcterms:W3CDTF">2026-09-04T10:57:00Z</dcterms:modified>
  <cp:category/>
</cp:coreProperties>
</file>