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12EAA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4D07E5B5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" w:hanging="4"/>
        <w:jc w:val="center"/>
        <w:rPr>
          <w:rFonts w:ascii="Aptos" w:eastAsia="Aptos" w:hAnsi="Aptos" w:cs="Aptos"/>
          <w:color w:val="000000"/>
          <w:sz w:val="36"/>
          <w:szCs w:val="36"/>
          <w:highlight w:val="yellow"/>
        </w:rPr>
      </w:pPr>
    </w:p>
    <w:p w14:paraId="43042233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" w:hanging="4"/>
        <w:jc w:val="center"/>
        <w:rPr>
          <w:rFonts w:ascii="Aptos" w:eastAsia="Aptos" w:hAnsi="Aptos" w:cs="Aptos"/>
          <w:color w:val="000000"/>
          <w:sz w:val="36"/>
          <w:szCs w:val="36"/>
        </w:rPr>
      </w:pPr>
      <w:r>
        <w:rPr>
          <w:rFonts w:ascii="Aptos" w:eastAsia="Aptos" w:hAnsi="Aptos" w:cs="Aptos"/>
          <w:b/>
          <w:color w:val="000000"/>
          <w:sz w:val="36"/>
          <w:szCs w:val="36"/>
        </w:rPr>
        <w:t>A8d Modello Allegato alla Relazione del Revisore esterno</w:t>
      </w:r>
    </w:p>
    <w:p w14:paraId="10A0E961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center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  <w:sz w:val="32"/>
          <w:szCs w:val="32"/>
        </w:rPr>
        <w:t>(Compilare integralmente le 3 sezioni)</w:t>
      </w:r>
    </w:p>
    <w:p w14:paraId="0825E278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Revisore esterno ……………………….......</w:t>
      </w:r>
    </w:p>
    <w:p w14:paraId="306DB9DC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Ente esecutore: ……………………….</w:t>
      </w:r>
    </w:p>
    <w:p w14:paraId="7C800376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Titolo progetto e Codice AID: ……………</w:t>
      </w:r>
    </w:p>
    <w:p w14:paraId="5611BE33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Rapporto intermedio / finale: …………….</w:t>
      </w:r>
    </w:p>
    <w:p w14:paraId="01BA9FF2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Periodo: dal ……………. al ……………….</w:t>
      </w:r>
    </w:p>
    <w:p w14:paraId="6F96AC3A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</w:p>
    <w:p w14:paraId="025A1873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Sezione 1: Check list per la certificazione della completezza e corrispondenza degli elementi sottoposti a verifica e controllo da parte del Revisore esterno (La Check List deve essere integrata con altri eventuali elementi di controllo richiesti dalla Procedura e dai formati applicabili al Bando / Programma in Gestione diretta)</w:t>
      </w:r>
    </w:p>
    <w:tbl>
      <w:tblPr>
        <w:tblStyle w:val="a"/>
        <w:tblW w:w="1442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06"/>
        <w:gridCol w:w="1842"/>
        <w:gridCol w:w="2977"/>
      </w:tblGrid>
      <w:tr w:rsidR="00523C57" w14:paraId="753734CF" w14:textId="77777777">
        <w:tc>
          <w:tcPr>
            <w:tcW w:w="9606" w:type="dxa"/>
          </w:tcPr>
          <w:p w14:paraId="5568A30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Il Revisore esterno esamina, verifica, controlla:</w:t>
            </w:r>
          </w:p>
        </w:tc>
        <w:tc>
          <w:tcPr>
            <w:tcW w:w="1842" w:type="dxa"/>
          </w:tcPr>
          <w:p w14:paraId="2A44418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Eseguito /     Non eseguito</w:t>
            </w:r>
          </w:p>
        </w:tc>
        <w:tc>
          <w:tcPr>
            <w:tcW w:w="2977" w:type="dxa"/>
          </w:tcPr>
          <w:p w14:paraId="1792C90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Note</w:t>
            </w:r>
          </w:p>
        </w:tc>
      </w:tr>
      <w:tr w:rsidR="00523C57" w14:paraId="7464311A" w14:textId="77777777">
        <w:tc>
          <w:tcPr>
            <w:tcW w:w="9606" w:type="dxa"/>
          </w:tcPr>
          <w:p w14:paraId="61F1E18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L’ammissibilità delle spese effettuate ai sensi di quanto previsto dal Manuale di Gestione e Rendicontazione (artt. 3, 4, 5, 6, 7, 10,11, 13)</w:t>
            </w:r>
          </w:p>
        </w:tc>
        <w:tc>
          <w:tcPr>
            <w:tcW w:w="1842" w:type="dxa"/>
          </w:tcPr>
          <w:p w14:paraId="176613D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2132AF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90AAF3C" w14:textId="77777777">
        <w:tc>
          <w:tcPr>
            <w:tcW w:w="9606" w:type="dxa"/>
          </w:tcPr>
          <w:p w14:paraId="42BC977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L’ammissibilità delle spese effettuate ai sensi di quanto previsto dai criteri stabiliti dal Bando (se previsto)</w:t>
            </w:r>
          </w:p>
        </w:tc>
        <w:tc>
          <w:tcPr>
            <w:tcW w:w="1842" w:type="dxa"/>
          </w:tcPr>
          <w:p w14:paraId="580AEAE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5E338E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851DBF1" w14:textId="77777777">
        <w:tc>
          <w:tcPr>
            <w:tcW w:w="9606" w:type="dxa"/>
          </w:tcPr>
          <w:p w14:paraId="59F18F4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L’ammissibilità delle spese effettuate ai sensi di quanto previsto dal Contratto </w:t>
            </w:r>
          </w:p>
        </w:tc>
        <w:tc>
          <w:tcPr>
            <w:tcW w:w="1842" w:type="dxa"/>
          </w:tcPr>
          <w:p w14:paraId="231261A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338E26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817892E" w14:textId="77777777">
        <w:tc>
          <w:tcPr>
            <w:tcW w:w="9606" w:type="dxa"/>
          </w:tcPr>
          <w:p w14:paraId="476F563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corretta applicazione da parte dell’Ente esecutore delle Linee Guida inserite nei fogli del “Piano Finanziario per il Rapporto Intermedio / Finale” e per la “Modifica del Piano Finanziario”</w:t>
            </w:r>
          </w:p>
        </w:tc>
        <w:tc>
          <w:tcPr>
            <w:tcW w:w="1842" w:type="dxa"/>
          </w:tcPr>
          <w:p w14:paraId="154B2F2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05CEDB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53657D5" w14:textId="77777777">
        <w:tc>
          <w:tcPr>
            <w:tcW w:w="9606" w:type="dxa"/>
          </w:tcPr>
          <w:p w14:paraId="09F65014" w14:textId="155DB02C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Piano Finanziario: la corrispondenza per ogni linea di budget tra l’ultimo piano finanziario approvato dall’AICS e il piano finanziario presentato nel rendiconto in oggetto</w:t>
            </w:r>
          </w:p>
        </w:tc>
        <w:tc>
          <w:tcPr>
            <w:tcW w:w="1842" w:type="dxa"/>
          </w:tcPr>
          <w:p w14:paraId="496AD11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21E54FE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978773F" w14:textId="77777777">
        <w:tc>
          <w:tcPr>
            <w:tcW w:w="9606" w:type="dxa"/>
          </w:tcPr>
          <w:p w14:paraId="40D4723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Piano Finanziario: la corrispondenza nella codificazione delle linee di budget del Piano Finanziario del primo e secondo livello (Rubriche e Categorie) tra l’ultimo budget approvato dall’AICS e il piano finanziario presentato per il rendiconto </w:t>
            </w:r>
          </w:p>
        </w:tc>
        <w:tc>
          <w:tcPr>
            <w:tcW w:w="1842" w:type="dxa"/>
          </w:tcPr>
          <w:p w14:paraId="312DF70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B6B967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2D437B3" w14:textId="77777777">
        <w:tc>
          <w:tcPr>
            <w:tcW w:w="9606" w:type="dxa"/>
          </w:tcPr>
          <w:p w14:paraId="1D839D2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corrispondenza e la pertinenza delle linee di budget inserite dall’Ente esecutore al terzo, quarto e quinto livello con la codificazione AICS del primo e secondo livello</w:t>
            </w:r>
          </w:p>
        </w:tc>
        <w:tc>
          <w:tcPr>
            <w:tcW w:w="1842" w:type="dxa"/>
          </w:tcPr>
          <w:p w14:paraId="5D31B9C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57B055B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928F898" w14:textId="77777777">
        <w:tc>
          <w:tcPr>
            <w:tcW w:w="9606" w:type="dxa"/>
          </w:tcPr>
          <w:p w14:paraId="4269A40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correttezza e la corrispondenza delle formule e dei totali delle colonne del piano finanziario per le linee di budget al primo e secondo livello</w:t>
            </w:r>
          </w:p>
        </w:tc>
        <w:tc>
          <w:tcPr>
            <w:tcW w:w="1842" w:type="dxa"/>
          </w:tcPr>
          <w:p w14:paraId="69C727E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85327C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04901B0" w14:textId="77777777">
        <w:tc>
          <w:tcPr>
            <w:tcW w:w="9606" w:type="dxa"/>
          </w:tcPr>
          <w:p w14:paraId="43D5C51F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l’idonea attribuzione degli importi percentuali dei Risultati e Altre Spese non per Risultati, della correttezza e corrispondenza del totale progressivo dello speso per risultato nel rapporto intermedio / finale rispetto al costo complessivo del Progetto, incluso il cumulativo dello speso per risultato in rapporti intermedi precedenti</w:t>
            </w:r>
          </w:p>
        </w:tc>
        <w:tc>
          <w:tcPr>
            <w:tcW w:w="1842" w:type="dxa"/>
          </w:tcPr>
          <w:p w14:paraId="7AF8114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9BC850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BBE3FC6" w14:textId="77777777">
        <w:tc>
          <w:tcPr>
            <w:tcW w:w="9606" w:type="dxa"/>
          </w:tcPr>
          <w:p w14:paraId="3BD29F1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Piano Finanziario: la correttezza e corrispondenza delle formule e dei totali della colonna “Totale Speso </w:t>
            </w:r>
            <w:proofErr w:type="gramStart"/>
            <w:r>
              <w:rPr>
                <w:rFonts w:ascii="Aptos" w:eastAsia="Aptos" w:hAnsi="Aptos" w:cs="Aptos"/>
                <w:color w:val="000000"/>
              </w:rPr>
              <w:t>al: ….</w:t>
            </w:r>
            <w:proofErr w:type="gramEnd"/>
            <w:r>
              <w:rPr>
                <w:rFonts w:ascii="Aptos" w:eastAsia="Aptos" w:hAnsi="Aptos" w:cs="Aptos"/>
                <w:color w:val="000000"/>
              </w:rPr>
              <w:t>”</w:t>
            </w:r>
          </w:p>
        </w:tc>
        <w:tc>
          <w:tcPr>
            <w:tcW w:w="1842" w:type="dxa"/>
          </w:tcPr>
          <w:p w14:paraId="1A2E33C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98483B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4C90977" w14:textId="77777777">
        <w:tc>
          <w:tcPr>
            <w:tcW w:w="9606" w:type="dxa"/>
          </w:tcPr>
          <w:p w14:paraId="7CA17A9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Piano Finanziario: la correttezza e corrispondenza delle formule e dei totali della colonna “Piano Finanziario residuo sottoposto ad AICS da spendere </w:t>
            </w:r>
            <w:proofErr w:type="gramStart"/>
            <w:r>
              <w:rPr>
                <w:rFonts w:ascii="Aptos" w:eastAsia="Aptos" w:hAnsi="Aptos" w:cs="Aptos"/>
                <w:color w:val="000000"/>
              </w:rPr>
              <w:t>al: ….</w:t>
            </w:r>
            <w:proofErr w:type="gramEnd"/>
            <w:r>
              <w:rPr>
                <w:rFonts w:ascii="Aptos" w:eastAsia="Aptos" w:hAnsi="Aptos" w:cs="Aptos"/>
                <w:color w:val="000000"/>
              </w:rPr>
              <w:t>.”</w:t>
            </w:r>
          </w:p>
        </w:tc>
        <w:tc>
          <w:tcPr>
            <w:tcW w:w="1842" w:type="dxa"/>
          </w:tcPr>
          <w:p w14:paraId="59E9408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645D927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C56C137" w14:textId="77777777">
        <w:tc>
          <w:tcPr>
            <w:tcW w:w="9606" w:type="dxa"/>
          </w:tcPr>
          <w:p w14:paraId="5F7D0E7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corretta considerazione da parte dell’Ente esecutore di quanto approvato dall’AICS in Rapporti intermedi precedenti in merito alle colonne “Importi considerati non ammissibili e non approvati dall'AICS” e “Piano Finanziario residuo approvato dall’AICS con totale da spendere al:”</w:t>
            </w:r>
          </w:p>
        </w:tc>
        <w:tc>
          <w:tcPr>
            <w:tcW w:w="1842" w:type="dxa"/>
          </w:tcPr>
          <w:p w14:paraId="5B9FFAC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2363F26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5A2445F8" w14:textId="77777777">
        <w:tc>
          <w:tcPr>
            <w:tcW w:w="9606" w:type="dxa"/>
          </w:tcPr>
          <w:p w14:paraId="373F417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correttezza e corrispondenza delle percentuali del totale progressivo dello speso nelle linee “Totale spese in percentuale ripartite per Risultato + Altre spese non per Risultati” e “Costi percentuali per Risultato del Progetto approvate da AICS” poste in calce al Totale Generale del Piano Finanziario</w:t>
            </w:r>
          </w:p>
        </w:tc>
        <w:tc>
          <w:tcPr>
            <w:tcW w:w="1842" w:type="dxa"/>
          </w:tcPr>
          <w:p w14:paraId="10BFF81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2F9DF74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BC578C9" w14:textId="77777777">
        <w:tc>
          <w:tcPr>
            <w:tcW w:w="9606" w:type="dxa"/>
          </w:tcPr>
          <w:p w14:paraId="3C9D198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correttezza e corrispondenza degli importi e delle percentuali previste dal foglio per la “Modifica del Piano Finanziario”</w:t>
            </w:r>
          </w:p>
        </w:tc>
        <w:tc>
          <w:tcPr>
            <w:tcW w:w="1842" w:type="dxa"/>
          </w:tcPr>
          <w:p w14:paraId="71E83E9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5B6AAD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8BA86E1" w14:textId="77777777">
        <w:tc>
          <w:tcPr>
            <w:tcW w:w="9606" w:type="dxa"/>
          </w:tcPr>
          <w:p w14:paraId="61B7A02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Piano Finanziario: in caso di proposta di modifica, la correttezza e corrispondenza delle percentuali nelle linee “Costi percentuali per Risultato del Progetto approvati da AICS”, “Costi percentuali per Risultato spesi nei Rendiconti precedenti”, “Nuova ripartizione </w:t>
            </w:r>
            <w:r>
              <w:rPr>
                <w:rFonts w:ascii="Aptos" w:eastAsia="Aptos" w:hAnsi="Aptos" w:cs="Aptos"/>
                <w:color w:val="000000"/>
              </w:rPr>
              <w:lastRenderedPageBreak/>
              <w:t>percentuale dei costi per Risultato (Rendicontati + previsionali da spendere)” e “Variazione percentuale costi per Risultato tra Piano Finanziario approvato dall'AICS rispetto alle spese sostenute e previsionali” poste in calce al Totale Generale del Piano Finanziario per le modifiche di budget del Progetto</w:t>
            </w:r>
          </w:p>
        </w:tc>
        <w:tc>
          <w:tcPr>
            <w:tcW w:w="1842" w:type="dxa"/>
          </w:tcPr>
          <w:p w14:paraId="5C877F4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552AF72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6C59432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377205C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2C54C8F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4BAE502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79457FE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7A494A7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A1CE26B" w14:textId="77777777">
        <w:tc>
          <w:tcPr>
            <w:tcW w:w="9606" w:type="dxa"/>
          </w:tcPr>
          <w:p w14:paraId="56D542E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Piano Finanziario: la corretta applicazione dei criteri previsti dalle “Modifiche Unilaterali” (art 10.3 del Manuale di Gestione e Rendicontazione)</w:t>
            </w:r>
          </w:p>
        </w:tc>
        <w:tc>
          <w:tcPr>
            <w:tcW w:w="1842" w:type="dxa"/>
          </w:tcPr>
          <w:p w14:paraId="4E735CB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AB9EF4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CBEC92A" w14:textId="77777777">
        <w:tc>
          <w:tcPr>
            <w:tcW w:w="9606" w:type="dxa"/>
          </w:tcPr>
          <w:p w14:paraId="1126C6C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per le modifiche unilaterali, la corretta applicazione del +/- 15% della somma algebrica delle variazioni dei pesi percentuali di ciascun “Risultato + Altre Spese non per risultati”, rispetto ai valori approvati dall’AICS</w:t>
            </w:r>
          </w:p>
        </w:tc>
        <w:tc>
          <w:tcPr>
            <w:tcW w:w="1842" w:type="dxa"/>
          </w:tcPr>
          <w:p w14:paraId="17A400E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9C3848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F08B9B4" w14:textId="77777777">
        <w:tc>
          <w:tcPr>
            <w:tcW w:w="9606" w:type="dxa"/>
          </w:tcPr>
          <w:p w14:paraId="2E381F9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per le modifiche unilaterali la corretta applicazione del +/- 25% della somma algebrica dell’importo dello speso modificato tra Rubriche della colonna “Costo Totale in €” del Piano Finanziario, rispetto al costo delle Rubriche approvate da AICS (</w:t>
            </w:r>
            <w:proofErr w:type="gramStart"/>
            <w:r>
              <w:rPr>
                <w:rFonts w:ascii="Aptos" w:eastAsia="Aptos" w:hAnsi="Aptos" w:cs="Aptos"/>
                <w:color w:val="000000"/>
              </w:rPr>
              <w:t>1°</w:t>
            </w:r>
            <w:proofErr w:type="gramEnd"/>
            <w:r>
              <w:rPr>
                <w:rFonts w:ascii="Aptos" w:eastAsia="Aptos" w:hAnsi="Aptos" w:cs="Aptos"/>
                <w:color w:val="000000"/>
              </w:rPr>
              <w:t xml:space="preserve"> livello)</w:t>
            </w:r>
          </w:p>
        </w:tc>
        <w:tc>
          <w:tcPr>
            <w:tcW w:w="1842" w:type="dxa"/>
          </w:tcPr>
          <w:p w14:paraId="3A2164D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2E2726D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A7C86F6" w14:textId="77777777">
        <w:tc>
          <w:tcPr>
            <w:tcW w:w="9606" w:type="dxa"/>
          </w:tcPr>
          <w:p w14:paraId="7CC8F47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corretta applicazione dei criteri previsti dalle “Modifiche da sottoporre ad approvazione da parte dell’AICS” (art. 10.4 del Manuale di Gestione e Rendicontazione)</w:t>
            </w:r>
          </w:p>
        </w:tc>
        <w:tc>
          <w:tcPr>
            <w:tcW w:w="1842" w:type="dxa"/>
          </w:tcPr>
          <w:p w14:paraId="4456B33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D275F3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760AB40" w14:textId="77777777">
        <w:tc>
          <w:tcPr>
            <w:tcW w:w="9606" w:type="dxa"/>
          </w:tcPr>
          <w:p w14:paraId="16527E3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corretta applicazione dei criteri previsti dalle “Proroghe Convenzionali” all’art. 10.5 del Manuale di Gestione e Rendicontazione</w:t>
            </w:r>
          </w:p>
        </w:tc>
        <w:tc>
          <w:tcPr>
            <w:tcW w:w="1842" w:type="dxa"/>
          </w:tcPr>
          <w:p w14:paraId="75C188C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CAA2BD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CF6323A" w14:textId="77777777">
        <w:tc>
          <w:tcPr>
            <w:tcW w:w="9606" w:type="dxa"/>
          </w:tcPr>
          <w:p w14:paraId="62968F6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La corretta applicazione delle Condizioni Specifiche applicabili al Progetto (art. 13 del Manuale di Gestione e Rendicontazione) previste dai criteri del Bando e confermate nell’art. 11 del Contratto </w:t>
            </w:r>
          </w:p>
        </w:tc>
        <w:tc>
          <w:tcPr>
            <w:tcW w:w="1842" w:type="dxa"/>
          </w:tcPr>
          <w:p w14:paraId="4508B531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A1BF0E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1005444" w14:textId="77777777">
        <w:tc>
          <w:tcPr>
            <w:tcW w:w="9606" w:type="dxa"/>
          </w:tcPr>
          <w:p w14:paraId="2BF1A03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correttezza e corrispondenza dei dati inseriti nelle seguenti Sezioni 2 e 3 dell’Allegato alla Relazione del Revisore esterno</w:t>
            </w:r>
          </w:p>
        </w:tc>
        <w:tc>
          <w:tcPr>
            <w:tcW w:w="1842" w:type="dxa"/>
          </w:tcPr>
          <w:p w14:paraId="6F9CC40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6C1872F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FD7B279" w14:textId="77777777">
        <w:tc>
          <w:tcPr>
            <w:tcW w:w="9606" w:type="dxa"/>
          </w:tcPr>
          <w:p w14:paraId="04AD6E07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La corrispondenza del totale dell’apporto dell’Ente esecutore (e/o di altri finanziatori) con quanto riportato nel Contratto </w:t>
            </w:r>
          </w:p>
        </w:tc>
        <w:tc>
          <w:tcPr>
            <w:tcW w:w="1842" w:type="dxa"/>
          </w:tcPr>
          <w:p w14:paraId="0C62B44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1AB9DF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91E76CC" w14:textId="77777777">
        <w:tc>
          <w:tcPr>
            <w:tcW w:w="9606" w:type="dxa"/>
          </w:tcPr>
          <w:p w14:paraId="40E6C2A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coerenza nel rispetto e nell’applicazione delle Procedure Interne dell’Ente esecutore e delle normative applicabili in Italia e nel Paese di implementazione del Progetto (art. 3, 8, 12, 17 del Manuale di Gestione e Rendicontazione)</w:t>
            </w:r>
          </w:p>
        </w:tc>
        <w:tc>
          <w:tcPr>
            <w:tcW w:w="1842" w:type="dxa"/>
          </w:tcPr>
          <w:p w14:paraId="6FC602F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A6D95F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38674D0E" w14:textId="77777777">
        <w:tc>
          <w:tcPr>
            <w:tcW w:w="9606" w:type="dxa"/>
          </w:tcPr>
          <w:p w14:paraId="20C0630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tracciabilità dei flussi finanziari e che le spese siano state effettivamente sostenute e saldate tramite bonifico bancario/carte di credito/etc. (e in contanti limitatamente da quanto previsto dall’art.4 del Manuale di Gestione e Rendicontazione)</w:t>
            </w:r>
          </w:p>
        </w:tc>
        <w:tc>
          <w:tcPr>
            <w:tcW w:w="1842" w:type="dxa"/>
          </w:tcPr>
          <w:p w14:paraId="0FA4B5C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CDE54C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4B7E4C1" w14:textId="77777777">
        <w:tc>
          <w:tcPr>
            <w:tcW w:w="9606" w:type="dxa"/>
          </w:tcPr>
          <w:p w14:paraId="6E03E81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L’Ente esecutore si è attenuto agli obblighi previsti dalla normativa vigente in materia di tracciabilità dei flussi finanziari (art. 2.3 del Manuale di Gestione e Rendicontazione) in merito ad apertura e tenuta dei conti correnti bancari del Progetto</w:t>
            </w:r>
          </w:p>
        </w:tc>
        <w:tc>
          <w:tcPr>
            <w:tcW w:w="1842" w:type="dxa"/>
          </w:tcPr>
          <w:p w14:paraId="26EC1B5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AE2AA9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41DE491" w14:textId="77777777">
        <w:tc>
          <w:tcPr>
            <w:tcW w:w="9606" w:type="dxa"/>
          </w:tcPr>
          <w:p w14:paraId="4DCFC84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La presenza del codice AID del Progetto sempre nei contratti, nelle fatture, nei documenti contabili e nelle causali dei bonifici bancari, solo per le transazioni riguardanti il contributo AICS </w:t>
            </w:r>
          </w:p>
        </w:tc>
        <w:tc>
          <w:tcPr>
            <w:tcW w:w="1842" w:type="dxa"/>
          </w:tcPr>
          <w:p w14:paraId="3742677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98811C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34A6E2DC" w14:textId="77777777">
        <w:tc>
          <w:tcPr>
            <w:tcW w:w="9606" w:type="dxa"/>
          </w:tcPr>
          <w:p w14:paraId="49D6652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Le spese rendicontate sono al netto di IVA, in quanto l’Ente esecutore ne risulta esente e/o abbia diritto al suo rimborso.</w:t>
            </w:r>
          </w:p>
          <w:p w14:paraId="40F3077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i/>
                <w:color w:val="000000"/>
              </w:rPr>
              <w:t>In alternativa</w:t>
            </w:r>
            <w:r>
              <w:rPr>
                <w:rFonts w:ascii="Aptos" w:eastAsia="Aptos" w:hAnsi="Aptos" w:cs="Aptos"/>
                <w:color w:val="000000"/>
              </w:rPr>
              <w:t>: l’IVA non è recuperabile ed è inclusa nell’indicazione delle spese sostenute e nei rapporti</w:t>
            </w:r>
          </w:p>
        </w:tc>
        <w:tc>
          <w:tcPr>
            <w:tcW w:w="1842" w:type="dxa"/>
          </w:tcPr>
          <w:p w14:paraId="4671736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9664D0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FA18627" w14:textId="77777777">
        <w:tc>
          <w:tcPr>
            <w:tcW w:w="9606" w:type="dxa"/>
          </w:tcPr>
          <w:p w14:paraId="0159E46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presenza di eventuali costi, spese o perdite causate dall’applicazione della modalità di tasso di cambio previste per il Progetto (art. 4 Manuale di Gestione e Rendicontazione)</w:t>
            </w:r>
          </w:p>
        </w:tc>
        <w:tc>
          <w:tcPr>
            <w:tcW w:w="1842" w:type="dxa"/>
          </w:tcPr>
          <w:p w14:paraId="709CB62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70616B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9F3FC36" w14:textId="77777777">
        <w:tc>
          <w:tcPr>
            <w:tcW w:w="9606" w:type="dxa"/>
          </w:tcPr>
          <w:p w14:paraId="02A457B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Il rispetto dei massimali (in valore assoluto e/o percentuali) previsti da Bando, Contratto, Procedure del Bando </w:t>
            </w:r>
          </w:p>
        </w:tc>
        <w:tc>
          <w:tcPr>
            <w:tcW w:w="1842" w:type="dxa"/>
          </w:tcPr>
          <w:p w14:paraId="75C4ECC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EBB7E9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BC3CEC2" w14:textId="77777777">
        <w:tc>
          <w:tcPr>
            <w:tcW w:w="9606" w:type="dxa"/>
          </w:tcPr>
          <w:p w14:paraId="401F748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Verifica che quanto previsto per i costi del personale espatriato previsto nel Progetto applichino e non superino gli stipendi, gli importi lordi e i costi normalmente sostenuti dal Soggetto Esecutore, secondo le proprie procedure (art. 3.2. del Manuale di Gestione e Rendicontazione)</w:t>
            </w:r>
          </w:p>
        </w:tc>
        <w:tc>
          <w:tcPr>
            <w:tcW w:w="1842" w:type="dxa"/>
          </w:tcPr>
          <w:p w14:paraId="11C6B29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EBD35C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7761106" w14:textId="77777777">
        <w:tc>
          <w:tcPr>
            <w:tcW w:w="9606" w:type="dxa"/>
          </w:tcPr>
          <w:p w14:paraId="71DFB14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Controlla e verifica la coerenza delle procedure adottate dall’Ente esecutore con i principi e le procedure di scelta del contraente per beni, servizi, lavori (art. 6 del Manuale di Gestione e Rendicontazione) </w:t>
            </w:r>
          </w:p>
        </w:tc>
        <w:tc>
          <w:tcPr>
            <w:tcW w:w="1842" w:type="dxa"/>
          </w:tcPr>
          <w:p w14:paraId="2DA1EC7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7F9065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9420A6A" w14:textId="77777777">
        <w:tc>
          <w:tcPr>
            <w:tcW w:w="9606" w:type="dxa"/>
          </w:tcPr>
          <w:p w14:paraId="3777FAF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presentazione della rendicontazione contabile-amministrativa del Progetto al Revisore esterno da parte dell’Ente esecutore nei tempi indicati dal Contratto, utilizzando la modulistica prevista dal Contratto, dalla Proposta esecutiva e dagli Allegati obbligatori (art. 8.3 Manuale di Gestione e Rendicontazione)</w:t>
            </w:r>
          </w:p>
        </w:tc>
        <w:tc>
          <w:tcPr>
            <w:tcW w:w="1842" w:type="dxa"/>
          </w:tcPr>
          <w:p w14:paraId="10E3527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BDE467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8676DEB" w14:textId="77777777">
        <w:tc>
          <w:tcPr>
            <w:tcW w:w="9606" w:type="dxa"/>
          </w:tcPr>
          <w:p w14:paraId="15964D9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Verifica che quanto approvato da AICS a seguito dei controlli tecnico-economici sui rapporti intermedi precedenti sia integrato e attualizzato nella Proposta esecutiva, nel Piano Finanziario e nella modulistica di progetto per il periodo seguente, in modo che siano di riferimento per il prosieguo del Progetto e per il rapporto successivo</w:t>
            </w:r>
          </w:p>
        </w:tc>
        <w:tc>
          <w:tcPr>
            <w:tcW w:w="1842" w:type="dxa"/>
          </w:tcPr>
          <w:p w14:paraId="422A6AF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056AE3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62C12EE" w14:textId="77777777">
        <w:tc>
          <w:tcPr>
            <w:tcW w:w="9606" w:type="dxa"/>
          </w:tcPr>
          <w:p w14:paraId="42F0B1B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Verifica la completezza documentale, in particolare che vi sia la fonte di verifica degli indicatori di obiettivo e di risultato individuati nella Proposta esecutiva (e QL) e nei suoi allegati</w:t>
            </w:r>
          </w:p>
        </w:tc>
        <w:tc>
          <w:tcPr>
            <w:tcW w:w="1842" w:type="dxa"/>
          </w:tcPr>
          <w:p w14:paraId="26DE1E5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23F6C5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F545A26" w14:textId="77777777">
        <w:tc>
          <w:tcPr>
            <w:tcW w:w="9606" w:type="dxa"/>
          </w:tcPr>
          <w:p w14:paraId="23DF1FAF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Il corretto utilizzo dei finanziamenti erogati da AICS in conformità con la legislazione italiana e internazionale applicabile, secondo i termini stabiliti dal Contratto del Progetto</w:t>
            </w:r>
          </w:p>
        </w:tc>
        <w:tc>
          <w:tcPr>
            <w:tcW w:w="1842" w:type="dxa"/>
          </w:tcPr>
          <w:p w14:paraId="41CF53A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9C896F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25AD2E2" w14:textId="77777777">
        <w:tc>
          <w:tcPr>
            <w:tcW w:w="9606" w:type="dxa"/>
          </w:tcPr>
          <w:p w14:paraId="5213242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Controlla e verifica che l’utilizzo e la destinazione dei beni alla fine del Progetto rispondano a quanto richiesto da AICS (art. 7 Manuale di Gestione e Rendicontazione) e che sia presente il verbale di consegna di beni mobili e immobili</w:t>
            </w:r>
          </w:p>
        </w:tc>
        <w:tc>
          <w:tcPr>
            <w:tcW w:w="1842" w:type="dxa"/>
          </w:tcPr>
          <w:p w14:paraId="435F609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D09219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4387D17" w14:textId="77777777">
        <w:tc>
          <w:tcPr>
            <w:tcW w:w="9606" w:type="dxa"/>
          </w:tcPr>
          <w:p w14:paraId="1158FBF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I documenti giustificativi di spesa siano conformi a quanto previsto dal Manuale di Gestione e Rendicontazione (art. 8.3) e siano conformi a quanto previsto dagli accordi tra Ente esecutore e Revisore.</w:t>
            </w:r>
          </w:p>
        </w:tc>
        <w:tc>
          <w:tcPr>
            <w:tcW w:w="1842" w:type="dxa"/>
          </w:tcPr>
          <w:p w14:paraId="1DC6569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5CF3E8D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</w:tbl>
    <w:p w14:paraId="56238DEE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</w:p>
    <w:p w14:paraId="2D08D49B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Sezione 2: Elenco dei casi di irregolarità e tassi di errore riscontrati dal Revisore Esterno nel corso dell’attività di audit</w:t>
      </w:r>
    </w:p>
    <w:p w14:paraId="46D0FC6D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tbl>
      <w:tblPr>
        <w:tblStyle w:val="a0"/>
        <w:tblW w:w="145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88"/>
        <w:gridCol w:w="4166"/>
        <w:gridCol w:w="3402"/>
        <w:gridCol w:w="2681"/>
      </w:tblGrid>
      <w:tr w:rsidR="00523C57" w14:paraId="69A06AAD" w14:textId="77777777">
        <w:trPr>
          <w:trHeight w:val="1639"/>
        </w:trPr>
        <w:tc>
          <w:tcPr>
            <w:tcW w:w="2518" w:type="dxa"/>
            <w:shd w:val="clear" w:color="auto" w:fill="DEEAF6"/>
            <w:vAlign w:val="center"/>
          </w:tcPr>
          <w:p w14:paraId="5A70AB5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Descrizione caso</w:t>
            </w:r>
          </w:p>
        </w:tc>
        <w:tc>
          <w:tcPr>
            <w:tcW w:w="1788" w:type="dxa"/>
            <w:shd w:val="clear" w:color="auto" w:fill="DEEAF6"/>
            <w:vAlign w:val="center"/>
          </w:tcPr>
          <w:p w14:paraId="2F69852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Importo direttamente collegato e rendicontato</w:t>
            </w:r>
          </w:p>
        </w:tc>
        <w:tc>
          <w:tcPr>
            <w:tcW w:w="4166" w:type="dxa"/>
            <w:shd w:val="clear" w:color="auto" w:fill="DEEAF6"/>
            <w:vAlign w:val="center"/>
          </w:tcPr>
          <w:p w14:paraId="7E26795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 xml:space="preserve">Entità e grado di sistematicità dell’inammissibilità rilevata dal Revisore esterno (es. costo inammissibile, costo non supportato da documentazione contabile – amministrativa, presenza di altre spese simili e/o </w:t>
            </w:r>
            <w:proofErr w:type="spellStart"/>
            <w:r>
              <w:rPr>
                <w:rFonts w:ascii="Aptos" w:eastAsia="Aptos" w:hAnsi="Aptos" w:cs="Aptos"/>
                <w:b/>
                <w:color w:val="000000"/>
              </w:rPr>
              <w:t>stesso</w:t>
            </w:r>
            <w:proofErr w:type="spellEnd"/>
            <w:r>
              <w:rPr>
                <w:rFonts w:ascii="Aptos" w:eastAsia="Aptos" w:hAnsi="Aptos" w:cs="Aptos"/>
                <w:b/>
                <w:color w:val="000000"/>
              </w:rPr>
              <w:t xml:space="preserve"> beneficiario, </w:t>
            </w:r>
            <w:proofErr w:type="spellStart"/>
            <w:r>
              <w:rPr>
                <w:rFonts w:ascii="Aptos" w:eastAsia="Aptos" w:hAnsi="Aptos" w:cs="Aptos"/>
                <w:b/>
                <w:color w:val="000000"/>
              </w:rPr>
              <w:t>etc</w:t>
            </w:r>
            <w:proofErr w:type="spellEnd"/>
            <w:r>
              <w:rPr>
                <w:rFonts w:ascii="Aptos" w:eastAsia="Aptos" w:hAnsi="Aptos" w:cs="Aptos"/>
                <w:b/>
                <w:color w:val="000000"/>
              </w:rPr>
              <w:t>)</w:t>
            </w:r>
          </w:p>
        </w:tc>
        <w:tc>
          <w:tcPr>
            <w:tcW w:w="3402" w:type="dxa"/>
            <w:shd w:val="clear" w:color="auto" w:fill="DEEAF6"/>
            <w:vAlign w:val="center"/>
          </w:tcPr>
          <w:p w14:paraId="2509093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Azione correttiva e parere dell’Ente esecutore (se richiesto dallo stesso) in relazione al caso di criticità / inammissibilità riscontrato dal Revisore Esterno</w:t>
            </w:r>
          </w:p>
        </w:tc>
        <w:tc>
          <w:tcPr>
            <w:tcW w:w="2681" w:type="dxa"/>
            <w:shd w:val="clear" w:color="auto" w:fill="DEEAF6"/>
            <w:vAlign w:val="center"/>
          </w:tcPr>
          <w:p w14:paraId="66B284E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Importo totale avente criticità e/o inammissibilità stimata dal Revisore Esterno all’interno del rendiconto</w:t>
            </w:r>
          </w:p>
        </w:tc>
      </w:tr>
      <w:tr w:rsidR="00523C57" w14:paraId="24D2DC41" w14:textId="77777777">
        <w:trPr>
          <w:trHeight w:val="684"/>
        </w:trPr>
        <w:tc>
          <w:tcPr>
            <w:tcW w:w="2518" w:type="dxa"/>
          </w:tcPr>
          <w:p w14:paraId="4A295ED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Caso nr. 1: </w:t>
            </w:r>
          </w:p>
        </w:tc>
        <w:tc>
          <w:tcPr>
            <w:tcW w:w="1788" w:type="dxa"/>
          </w:tcPr>
          <w:p w14:paraId="3029335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37A2FEB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0311E30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60407B9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13F11F47" w14:textId="77777777">
        <w:trPr>
          <w:trHeight w:val="684"/>
        </w:trPr>
        <w:tc>
          <w:tcPr>
            <w:tcW w:w="2518" w:type="dxa"/>
          </w:tcPr>
          <w:p w14:paraId="4858662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2:</w:t>
            </w:r>
          </w:p>
        </w:tc>
        <w:tc>
          <w:tcPr>
            <w:tcW w:w="1788" w:type="dxa"/>
          </w:tcPr>
          <w:p w14:paraId="0253DD6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6660ABB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25A7ED9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3652722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49DB9B75" w14:textId="77777777">
        <w:trPr>
          <w:trHeight w:val="684"/>
        </w:trPr>
        <w:tc>
          <w:tcPr>
            <w:tcW w:w="2518" w:type="dxa"/>
          </w:tcPr>
          <w:p w14:paraId="24499E9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Caso nr. 3:</w:t>
            </w:r>
          </w:p>
        </w:tc>
        <w:tc>
          <w:tcPr>
            <w:tcW w:w="1788" w:type="dxa"/>
          </w:tcPr>
          <w:p w14:paraId="3756D33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18F29BB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2E4C52B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410DCF6F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6719DACC" w14:textId="77777777">
        <w:trPr>
          <w:trHeight w:val="684"/>
        </w:trPr>
        <w:tc>
          <w:tcPr>
            <w:tcW w:w="2518" w:type="dxa"/>
          </w:tcPr>
          <w:p w14:paraId="08E7B1F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Caso nr. (..): </w:t>
            </w:r>
          </w:p>
        </w:tc>
        <w:tc>
          <w:tcPr>
            <w:tcW w:w="1788" w:type="dxa"/>
          </w:tcPr>
          <w:p w14:paraId="3BA24D9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5C88121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6B2AF3F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69DD3A7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413CC7EA" w14:textId="77777777">
        <w:trPr>
          <w:trHeight w:val="684"/>
        </w:trPr>
        <w:tc>
          <w:tcPr>
            <w:tcW w:w="2518" w:type="dxa"/>
          </w:tcPr>
          <w:p w14:paraId="65EBBAF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1F6FB2E7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1B2F0B5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76D367D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27429AE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7B74AEB6" w14:textId="77777777">
        <w:trPr>
          <w:trHeight w:val="684"/>
        </w:trPr>
        <w:tc>
          <w:tcPr>
            <w:tcW w:w="2518" w:type="dxa"/>
          </w:tcPr>
          <w:p w14:paraId="53CE207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25C15C5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0601266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752B870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21E8CFB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0E8C8E58" w14:textId="77777777">
        <w:trPr>
          <w:trHeight w:val="684"/>
        </w:trPr>
        <w:tc>
          <w:tcPr>
            <w:tcW w:w="2518" w:type="dxa"/>
          </w:tcPr>
          <w:p w14:paraId="465F6E2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5611E00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06CD45A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0BF656A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04676B5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259335B7" w14:textId="77777777">
        <w:trPr>
          <w:trHeight w:val="684"/>
        </w:trPr>
        <w:tc>
          <w:tcPr>
            <w:tcW w:w="2518" w:type="dxa"/>
          </w:tcPr>
          <w:p w14:paraId="413D74E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6DB983F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0108D60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4B088E7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224E014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71A8EE1A" w14:textId="77777777">
        <w:trPr>
          <w:trHeight w:val="684"/>
        </w:trPr>
        <w:tc>
          <w:tcPr>
            <w:tcW w:w="2518" w:type="dxa"/>
          </w:tcPr>
          <w:p w14:paraId="1B80872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2CCE66B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0547827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23654FC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00B317E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78E535CC" w14:textId="77777777">
        <w:trPr>
          <w:trHeight w:val="684"/>
        </w:trPr>
        <w:tc>
          <w:tcPr>
            <w:tcW w:w="2518" w:type="dxa"/>
          </w:tcPr>
          <w:p w14:paraId="78C35EF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7A1E46E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7692CF6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792C7BC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3A94C8B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4FBF019B" w14:textId="77777777">
        <w:trPr>
          <w:trHeight w:val="684"/>
        </w:trPr>
        <w:tc>
          <w:tcPr>
            <w:tcW w:w="2518" w:type="dxa"/>
            <w:shd w:val="clear" w:color="auto" w:fill="auto"/>
          </w:tcPr>
          <w:p w14:paraId="0C4DD61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Importo totale avente criticità e/o inammissibilità rilevata dal Revisore Esterno</w:t>
            </w:r>
          </w:p>
        </w:tc>
        <w:tc>
          <w:tcPr>
            <w:tcW w:w="1788" w:type="dxa"/>
            <w:shd w:val="clear" w:color="auto" w:fill="DEEAF6"/>
          </w:tcPr>
          <w:p w14:paraId="211AD0F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4166" w:type="dxa"/>
            <w:shd w:val="clear" w:color="auto" w:fill="DEEAF6"/>
          </w:tcPr>
          <w:p w14:paraId="1CCED4A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  <w:shd w:val="clear" w:color="auto" w:fill="DEEAF6"/>
          </w:tcPr>
          <w:p w14:paraId="45C073A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032223A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5CBC94EF" w14:textId="77777777">
        <w:trPr>
          <w:trHeight w:val="684"/>
        </w:trPr>
        <w:tc>
          <w:tcPr>
            <w:tcW w:w="2518" w:type="dxa"/>
            <w:shd w:val="clear" w:color="auto" w:fill="auto"/>
          </w:tcPr>
          <w:p w14:paraId="6DAD70C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Importo totale rendicontato nel rapporto intermedio / finale</w:t>
            </w:r>
          </w:p>
        </w:tc>
        <w:tc>
          <w:tcPr>
            <w:tcW w:w="1788" w:type="dxa"/>
            <w:shd w:val="clear" w:color="auto" w:fill="DEEAF6"/>
          </w:tcPr>
          <w:p w14:paraId="31CC4821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4166" w:type="dxa"/>
            <w:shd w:val="clear" w:color="auto" w:fill="DEEAF6"/>
          </w:tcPr>
          <w:p w14:paraId="04F7D88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  <w:shd w:val="clear" w:color="auto" w:fill="DEEAF6"/>
          </w:tcPr>
          <w:p w14:paraId="333B8CC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0E93F22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648B8624" w14:textId="77777777">
        <w:trPr>
          <w:trHeight w:val="684"/>
        </w:trPr>
        <w:tc>
          <w:tcPr>
            <w:tcW w:w="2518" w:type="dxa"/>
            <w:shd w:val="clear" w:color="auto" w:fill="auto"/>
          </w:tcPr>
          <w:p w14:paraId="49AA707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 xml:space="preserve">Importo totale ammissibile </w:t>
            </w:r>
            <w:r>
              <w:rPr>
                <w:rFonts w:ascii="Aptos" w:eastAsia="Aptos" w:hAnsi="Aptos" w:cs="Aptos"/>
                <w:b/>
                <w:color w:val="000000"/>
              </w:rPr>
              <w:lastRenderedPageBreak/>
              <w:t>proposto dal Revisore Esterno</w:t>
            </w:r>
          </w:p>
        </w:tc>
        <w:tc>
          <w:tcPr>
            <w:tcW w:w="1788" w:type="dxa"/>
            <w:shd w:val="clear" w:color="auto" w:fill="DEEAF6"/>
          </w:tcPr>
          <w:p w14:paraId="2AA93E5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4166" w:type="dxa"/>
            <w:shd w:val="clear" w:color="auto" w:fill="DEEAF6"/>
          </w:tcPr>
          <w:p w14:paraId="39C8DFB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  <w:shd w:val="clear" w:color="auto" w:fill="DEEAF6"/>
          </w:tcPr>
          <w:p w14:paraId="6A3BB9C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10533E5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</w:tbl>
    <w:p w14:paraId="57A5FA8E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1589ED82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6769587C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4F747918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425664B6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07626F8A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665DB74E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44E11B0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Sezione 3: Tabella di riconciliazione dei saldi del Progetto in ragione dei rapporti intermedi e del rapporto finale</w:t>
      </w:r>
    </w:p>
    <w:p w14:paraId="32096B6C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2E6AE9F3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tbl>
      <w:tblPr>
        <w:tblStyle w:val="a1"/>
        <w:tblW w:w="1165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664"/>
        <w:gridCol w:w="1497"/>
        <w:gridCol w:w="1555"/>
        <w:gridCol w:w="911"/>
        <w:gridCol w:w="1174"/>
        <w:gridCol w:w="1485"/>
        <w:gridCol w:w="1689"/>
        <w:gridCol w:w="1683"/>
      </w:tblGrid>
      <w:tr w:rsidR="00523C57" w14:paraId="0A100289" w14:textId="77777777">
        <w:trPr>
          <w:trHeight w:val="2796"/>
          <w:jc w:val="center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DCF57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 Sintesi dei costi a carico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220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Costo totale contributo AICS</w:t>
            </w:r>
          </w:p>
          <w:p w14:paraId="41AF710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738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  <w:highlight w:val="yellow"/>
              </w:rPr>
            </w:pPr>
          </w:p>
          <w:p w14:paraId="7AAC2B1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39FF4FD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12A75E4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  <w:highlight w:val="yellow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Costo totale rendicontato</w:t>
            </w: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D780F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1B7C252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04AB233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 xml:space="preserve">Totale Budget speso al: </w:t>
            </w:r>
          </w:p>
        </w:tc>
        <w:tc>
          <w:tcPr>
            <w:tcW w:w="1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71BB3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0A28BBA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57B29FE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 xml:space="preserve">Totale budget da spendere al: 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AD0BE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Totale Budget considerato ammissibile al Rapporto Intermedio / Finale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AF66F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Totale Budget Proposto come inammissibile dal Revisore Esterno</w:t>
            </w: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0E639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Note e riconciliazioni con importi considerati in precedenza non ammissibili da atti e decisioni dell’Aics</w:t>
            </w:r>
          </w:p>
        </w:tc>
      </w:tr>
      <w:tr w:rsidR="00523C57" w14:paraId="4FFA5B6E" w14:textId="77777777">
        <w:trPr>
          <w:trHeight w:val="290"/>
          <w:jc w:val="center"/>
        </w:trPr>
        <w:tc>
          <w:tcPr>
            <w:tcW w:w="1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DF15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Totale costi diretti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60CA4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1C07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68F34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4A20F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DEAD31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A7235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049CA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C97F4C3" w14:textId="77777777">
        <w:trPr>
          <w:trHeight w:val="290"/>
          <w:jc w:val="center"/>
        </w:trPr>
        <w:tc>
          <w:tcPr>
            <w:tcW w:w="1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25D9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Costi Indiretti max 7 %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1DEA8F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555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22482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3651A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E6BBC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BE617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ACDC9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E0D8EF8" w14:textId="77777777">
        <w:trPr>
          <w:trHeight w:val="290"/>
          <w:jc w:val="center"/>
        </w:trPr>
        <w:tc>
          <w:tcPr>
            <w:tcW w:w="1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5972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lastRenderedPageBreak/>
              <w:t>TOTALE GENERALE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D3D95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4D8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BBD7A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C466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5D47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253E3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D07B0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</w:tr>
    </w:tbl>
    <w:p w14:paraId="5932937D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0451029F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2DE49EE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Data ……………….</w:t>
      </w:r>
    </w:p>
    <w:p w14:paraId="14C703D5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Firma del Revisore esterno………………</w:t>
      </w:r>
    </w:p>
    <w:p w14:paraId="31EACA16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</w:p>
    <w:p w14:paraId="17578151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sectPr w:rsidR="00523C57">
      <w:headerReference w:type="default" r:id="rId8"/>
      <w:pgSz w:w="16837" w:h="11905" w:orient="landscape"/>
      <w:pgMar w:top="1134" w:right="1418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774B8" w14:textId="77777777" w:rsidR="00262EF6" w:rsidRDefault="00262EF6">
      <w:pPr>
        <w:spacing w:line="240" w:lineRule="auto"/>
        <w:ind w:left="0" w:hanging="2"/>
      </w:pPr>
      <w:r>
        <w:separator/>
      </w:r>
    </w:p>
  </w:endnote>
  <w:endnote w:type="continuationSeparator" w:id="0">
    <w:p w14:paraId="30BD4FC1" w14:textId="77777777" w:rsidR="00262EF6" w:rsidRDefault="00262EF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06BC0" w14:textId="77777777" w:rsidR="00262EF6" w:rsidRDefault="00262EF6">
      <w:pPr>
        <w:spacing w:line="240" w:lineRule="auto"/>
        <w:ind w:left="0" w:hanging="2"/>
      </w:pPr>
      <w:r>
        <w:separator/>
      </w:r>
    </w:p>
  </w:footnote>
  <w:footnote w:type="continuationSeparator" w:id="0">
    <w:p w14:paraId="48AB74B4" w14:textId="77777777" w:rsidR="00262EF6" w:rsidRDefault="00262EF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1EEB" w14:textId="77777777" w:rsidR="00523C57" w:rsidRDefault="00000000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center"/>
      <w:rPr>
        <w:rFonts w:ascii="Aptos" w:eastAsia="Aptos" w:hAnsi="Aptos" w:cs="Aptos"/>
        <w:color w:val="000000"/>
        <w:sz w:val="20"/>
        <w:szCs w:val="20"/>
      </w:rPr>
    </w:pPr>
    <w:r>
      <w:rPr>
        <w:rFonts w:ascii="Aptos" w:eastAsia="Aptos" w:hAnsi="Aptos" w:cs="Aptos"/>
        <w:i/>
        <w:color w:val="000000"/>
        <w:sz w:val="20"/>
        <w:szCs w:val="20"/>
      </w:rPr>
      <w:t>A8d_Modello Allegato alla Relazione del Revisore Esterno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62E41"/>
    <w:multiLevelType w:val="multilevel"/>
    <w:tmpl w:val="81AE68E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8246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C57"/>
    <w:rsid w:val="00262EF6"/>
    <w:rsid w:val="00523C57"/>
    <w:rsid w:val="005A2C2B"/>
    <w:rsid w:val="006B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FAB2"/>
  <w15:docId w15:val="{1AEDE454-2CB2-40C4-8504-2A40ED26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spacing w:line="276" w:lineRule="auto"/>
      <w:ind w:left="-1" w:hanging="1"/>
      <w:jc w:val="center"/>
    </w:pPr>
    <w:rPr>
      <w:b/>
      <w:bCs/>
      <w:caps/>
      <w:kern w:val="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Arial" w:hAnsi="Arial" w:cs="Arial"/>
      <w:b/>
      <w:bCs/>
      <w:i/>
      <w:i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Arial" w:hAnsi="Arial" w:cs="Arial"/>
      <w:b/>
      <w:bCs/>
      <w:i/>
      <w:sz w:val="20"/>
      <w:szCs w:val="20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numPr>
        <w:ilvl w:val="3"/>
        <w:numId w:val="1"/>
      </w:numPr>
      <w:spacing w:before="200"/>
      <w:ind w:left="-1" w:hanging="1"/>
      <w:outlineLvl w:val="3"/>
    </w:pPr>
    <w:rPr>
      <w:rFonts w:ascii="Cambria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character" w:customStyle="1" w:styleId="WW8Num1z0">
    <w:name w:val="WW8Num1z0"/>
    <w:rPr>
      <w:rFonts w:ascii="Symbol" w:hAnsi="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Garamond" w:eastAsia="Times New Roman" w:hAnsi="Garamond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Garamond" w:eastAsia="Times New Roman" w:hAnsi="Garamond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imes New Roman" w:hAnsi="Times New Roman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/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3z3">
    <w:name w:val="WW8Num33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Times New Roman" w:hAnsi="Times New Roman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WW8Num40z0">
    <w:name w:val="WW8Num4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b/>
      <w:bCs/>
      <w:caps/>
      <w:w w:val="100"/>
      <w:kern w:val="1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Cambria" w:eastAsia="Times New Roman" w:hAnsi="Cambria" w:cs="Times New Roman"/>
      <w:b/>
      <w:bCs/>
      <w:w w:val="100"/>
      <w:kern w:val="1"/>
      <w:position w:val="-1"/>
      <w:sz w:val="32"/>
      <w:szCs w:val="32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Arial" w:hAnsi="Arial" w:cs="Arial"/>
      <w:b/>
      <w:bCs/>
      <w:i/>
      <w:w w:val="100"/>
      <w:position w:val="-1"/>
      <w:effect w:val="none"/>
      <w:vertAlign w:val="baseline"/>
      <w:cs w:val="0"/>
      <w:em w:val="none"/>
    </w:rPr>
  </w:style>
  <w:style w:type="character" w:styleId="Enfasicorsivo">
    <w:name w:val="Emphasis"/>
    <w:rPr>
      <w:b/>
      <w:bCs/>
      <w:i w:val="0"/>
      <w:iCs w:val="0"/>
      <w:w w:val="100"/>
      <w:position w:val="-1"/>
      <w:effect w:val="none"/>
      <w:vertAlign w:val="baseline"/>
      <w:cs w:val="0"/>
      <w:em w:val="none"/>
    </w:rPr>
  </w:style>
  <w:style w:type="character" w:customStyle="1" w:styleId="Rimandocommento1">
    <w:name w:val="Rimando commento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stocommentoCarattere">
    <w:name w:val="Testo commento Carattere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SoggettocommentoCarattere">
    <w:name w:val="Soggetto comment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stonotaapidipaginaCarattere">
    <w:name w:val="Testo nota a piè di pagina Carattere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atteredellanota">
    <w:name w:val="Carattere della nota"/>
    <w:rPr>
      <w:w w:val="100"/>
      <w:position w:val="-1"/>
      <w:effect w:val="none"/>
      <w:vertAlign w:val="superscript"/>
      <w:cs w:val="0"/>
      <w:em w:val="none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Rimandonotadichiusura">
    <w:name w:val="end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aratterenotadichiusura">
    <w:name w:val="Carattere nota di chiusura"/>
    <w:rPr>
      <w:w w:val="100"/>
      <w:position w:val="-1"/>
      <w:effect w:val="none"/>
      <w:vertAlign w:val="baseline"/>
      <w:cs w:val="0"/>
      <w:em w:val="non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next w:val="Normale"/>
    <w:rPr>
      <w:b/>
      <w:bCs/>
      <w:sz w:val="20"/>
      <w:szCs w:val="20"/>
    </w:rPr>
  </w:style>
  <w:style w:type="paragraph" w:customStyle="1" w:styleId="Indice">
    <w:name w:val="Indice"/>
    <w:basedOn w:val="Normale"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pPr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styleId="Titolosommario">
    <w:name w:val="TOC Heading"/>
    <w:basedOn w:val="Titolo1"/>
    <w:next w:val="Normale"/>
    <w:pPr>
      <w:numPr>
        <w:numId w:val="0"/>
      </w:numPr>
      <w:spacing w:before="240" w:after="60" w:line="240" w:lineRule="auto"/>
      <w:ind w:leftChars="-1" w:hangingChars="1"/>
    </w:pPr>
    <w:rPr>
      <w:rFonts w:ascii="Cambria" w:hAnsi="Cambria"/>
      <w:sz w:val="32"/>
      <w:szCs w:val="32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Sommario1">
    <w:name w:val="toc 1"/>
    <w:basedOn w:val="Normale"/>
    <w:next w:val="Normale"/>
    <w:pPr>
      <w:spacing w:after="100"/>
    </w:pPr>
  </w:style>
  <w:style w:type="paragraph" w:styleId="Sommario2">
    <w:name w:val="toc 2"/>
    <w:basedOn w:val="Normale"/>
    <w:next w:val="Normale"/>
    <w:pPr>
      <w:spacing w:after="100"/>
      <w:ind w:left="240" w:firstLine="0"/>
    </w:pPr>
  </w:style>
  <w:style w:type="paragraph" w:styleId="Sommario3">
    <w:name w:val="toc 3"/>
    <w:basedOn w:val="Normale"/>
    <w:next w:val="Normale"/>
    <w:pPr>
      <w:spacing w:after="100" w:line="276" w:lineRule="auto"/>
      <w:ind w:left="440" w:firstLine="0"/>
    </w:pPr>
    <w:rPr>
      <w:sz w:val="20"/>
      <w:szCs w:val="22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Revisione">
    <w:name w:val="Revision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Sommario4">
    <w:name w:val="toc 4"/>
    <w:basedOn w:val="Indice"/>
    <w:pPr>
      <w:tabs>
        <w:tab w:val="right" w:leader="dot" w:pos="9637"/>
      </w:tabs>
      <w:ind w:left="849" w:firstLine="0"/>
    </w:pPr>
  </w:style>
  <w:style w:type="paragraph" w:styleId="Sommario5">
    <w:name w:val="toc 5"/>
    <w:basedOn w:val="Indice"/>
    <w:pPr>
      <w:tabs>
        <w:tab w:val="right" w:leader="dot" w:pos="9637"/>
      </w:tabs>
      <w:ind w:left="1132" w:firstLine="0"/>
    </w:pPr>
  </w:style>
  <w:style w:type="paragraph" w:styleId="Sommario6">
    <w:name w:val="toc 6"/>
    <w:basedOn w:val="Indice"/>
    <w:pPr>
      <w:tabs>
        <w:tab w:val="right" w:leader="dot" w:pos="9637"/>
      </w:tabs>
      <w:ind w:left="1415" w:firstLine="0"/>
    </w:pPr>
  </w:style>
  <w:style w:type="paragraph" w:styleId="Sommario7">
    <w:name w:val="toc 7"/>
    <w:basedOn w:val="Indice"/>
    <w:pPr>
      <w:tabs>
        <w:tab w:val="right" w:leader="dot" w:pos="9637"/>
      </w:tabs>
      <w:ind w:left="1698" w:firstLine="0"/>
    </w:pPr>
  </w:style>
  <w:style w:type="paragraph" w:styleId="Sommario8">
    <w:name w:val="toc 8"/>
    <w:basedOn w:val="Indice"/>
    <w:pPr>
      <w:tabs>
        <w:tab w:val="right" w:leader="dot" w:pos="9637"/>
      </w:tabs>
      <w:ind w:left="1981" w:firstLine="0"/>
    </w:pPr>
  </w:style>
  <w:style w:type="paragraph" w:styleId="Sommario9">
    <w:name w:val="toc 9"/>
    <w:basedOn w:val="Indice"/>
    <w:pPr>
      <w:tabs>
        <w:tab w:val="right" w:leader="dot" w:pos="9637"/>
      </w:tabs>
      <w:ind w:left="2264" w:firstLine="0"/>
    </w:pPr>
  </w:style>
  <w:style w:type="paragraph" w:customStyle="1" w:styleId="Indice10">
    <w:name w:val="Indice 10"/>
    <w:basedOn w:val="Indice"/>
    <w:pPr>
      <w:tabs>
        <w:tab w:val="right" w:leader="dot" w:pos="9637"/>
      </w:tabs>
      <w:ind w:left="2547" w:firstLine="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styleId="Rimandocomment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qFormat/>
    <w:rPr>
      <w:sz w:val="20"/>
      <w:szCs w:val="20"/>
    </w:rPr>
  </w:style>
  <w:style w:type="character" w:customStyle="1" w:styleId="TestocommentoCarattere1">
    <w:name w:val="Testo commento Carattere1"/>
    <w:rPr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2Garamond14ptNonCorsivoGrassettoGrassetto">
    <w:name w:val="Titolo 2 + Garamond;14 pt;Non Corsivo + Grassetto + Grassetto"/>
    <w:basedOn w:val="Titolo2"/>
    <w:rPr>
      <w:rFonts w:ascii="Garamond" w:hAnsi="Garamond"/>
      <w:b w:val="0"/>
      <w:i w:val="0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L0n+AJ7zVugiJCtKwPj/fmAuiA==">CgMxLjA4AHIhMVFuZFI2OFJVa01QaEVfeVo4Q1dORG4ybVhCbGNab1lQ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e un nuovo documento." ma:contentTypeScope="" ma:versionID="c68b0a9d9ccf1afacc4ddbc19d0a1367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d6b90368d87172577d34cdd4446ad9ec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EA0FF9-8149-43FD-AEAD-AE0929E3390A}"/>
</file>

<file path=customXml/itemProps3.xml><?xml version="1.0" encoding="utf-8"?>
<ds:datastoreItem xmlns:ds="http://schemas.openxmlformats.org/officeDocument/2006/customXml" ds:itemID="{013AA469-C6F5-433B-92B3-8C5DC6F55F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1604</Words>
  <Characters>9149</Characters>
  <Application>Microsoft Office Word</Application>
  <DocSecurity>0</DocSecurity>
  <Lines>76</Lines>
  <Paragraphs>21</Paragraphs>
  <ScaleCrop>false</ScaleCrop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Martina</dc:creator>
  <cp:lastModifiedBy>Federica Sorani</cp:lastModifiedBy>
  <cp:revision>2</cp:revision>
  <dcterms:created xsi:type="dcterms:W3CDTF">2024-06-10T08:21:00Z</dcterms:created>
  <dcterms:modified xsi:type="dcterms:W3CDTF">2024-06-13T13:36:00Z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>lcf76f155ced4ddcb4097134ff3c332f</vt:lpwstr>
  </property>
  <property fmtid="{D5CDD505-2E9C-101B-9397-08002B2CF9AE}" pid="3" name="Dataeora">
    <vt:lpwstr>Dataeora</vt:lpwstr>
  </property>
  <property fmtid="{D5CDD505-2E9C-101B-9397-08002B2CF9AE}" pid="4" name="TaxCatchAll">
    <vt:lpwstr>TaxCatchAll</vt:lpwstr>
  </property>
</Properties>
</file>